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Datu kopu apraksts</w:t>
      </w:r>
    </w:p>
    <w:p>
      <w:pPr>
        <w:pStyle w:val="Author"/>
      </w:pPr>
      <w:r>
        <w:t xml:space="preserve">Turn digital / Piekļūstamība.lv</w:t>
      </w:r>
    </w:p>
    <w:p>
      <w:pPr>
        <w:pStyle w:val="Date"/>
      </w:pPr>
      <w:r>
        <w:t xml:space="preserve">2025-08-15</w:t>
      </w:r>
    </w:p>
    <w:sdt>
      <w:sdtPr>
        <w:docPartObj>
          <w:docPartGallery w:val="Table of Contents"/>
          <w:docPartUnique/>
        </w:docPartObj>
      </w:sdtPr>
      <w:sdtContent>
        <w:p>
          <w:pPr>
            <w:pStyle w:val="TOCHeading"/>
          </w:pPr>
          <w:r>
            <w:t xml:space="preserve">Satura rādītājs</w:t>
          </w:r>
        </w:p>
        <w:p>
          <w:r>
            <w:fldChar w:fldCharType="begin" w:dirty="true"/>
            <w:instrText xml:space="preserve">TOC \o "1-3" \h \z \u</w:instrText>
            <w:fldChar w:fldCharType="separate"/>
            <w:fldChar w:fldCharType="end"/>
          </w:r>
        </w:p>
      </w:sdtContent>
    </w:sdt>
    <w:bookmarkStart w:id="29" w:name="Xa7db664568edd8b84ffb79de98111db63229ff0"/>
    <w:p>
      <w:pPr>
        <w:pStyle w:val="Heading2"/>
      </w:pPr>
      <w:r>
        <w:t xml:space="preserve">Tīmekļvietņu piekļūstamības izvērtējumu datu kopas apraksts</w:t>
      </w:r>
    </w:p>
    <w:p>
      <w:pPr>
        <w:pStyle w:val="FirstParagraph"/>
      </w:pPr>
      <w:r>
        <w:t xml:space="preserve">Šis dokuments sniedz detalizētu aprakstu par datu kopu, kurā apkopoti vairāku gadu tīmekļvietņu piekļūstamības izvērtējumu rezultāti. Visi dati ir apvienoti vienā</w:t>
      </w:r>
      <w:r>
        <w:t xml:space="preserve"> </w:t>
      </w:r>
      <w:r>
        <w:rPr>
          <w:i/>
          <w:iCs/>
        </w:rPr>
        <w:t xml:space="preserve">Excel</w:t>
      </w:r>
      <w:r>
        <w:t xml:space="preserve"> </w:t>
      </w:r>
      <w:r>
        <w:t xml:space="preserve">failā (</w:t>
      </w:r>
      <w:r>
        <w:rPr>
          <w:rStyle w:val="VerbatimChar"/>
        </w:rPr>
        <w:t xml:space="preserve">visi_dati.xlsx</w:t>
      </w:r>
      <w:r>
        <w:t xml:space="preserve">, cilnē</w:t>
      </w:r>
      <w:r>
        <w:t xml:space="preserve"> </w:t>
      </w:r>
      <w:r>
        <w:rPr>
          <w:rStyle w:val="VerbatimChar"/>
        </w:rPr>
        <w:t xml:space="preserve">visi izvērtējuma dati</w:t>
      </w:r>
      <w:r>
        <w:t xml:space="preserve">), lai atvieglotu to analīzi un salīdzināšanu.</w:t>
      </w:r>
    </w:p>
    <w:p>
      <w:pPr>
        <w:pStyle w:val="BodyText"/>
      </w:pPr>
      <w:r>
        <w:t xml:space="preserve">Datu kopa sastāv no sešām daļām, kas atspoguļo dažādus izvērtējumu veidus un periodus:</w:t>
      </w:r>
    </w:p>
    <w:p>
      <w:pPr>
        <w:pStyle w:val="Compact"/>
        <w:numPr>
          <w:ilvl w:val="0"/>
          <w:numId w:val="1001"/>
        </w:numPr>
      </w:pPr>
      <w:r>
        <w:t xml:space="preserve">Padziļinātā izvērtējuma rezultāti 2024. gads (</w:t>
      </w:r>
      <w:r>
        <w:rPr>
          <w:rStyle w:val="VerbatimChar"/>
        </w:rPr>
        <w:t xml:space="preserve">deep_24</w:t>
      </w:r>
      <w:r>
        <w:t xml:space="preserve">)</w:t>
      </w:r>
      <w:r>
        <w:br/>
      </w:r>
    </w:p>
    <w:p>
      <w:pPr>
        <w:pStyle w:val="Compact"/>
        <w:numPr>
          <w:ilvl w:val="0"/>
          <w:numId w:val="1001"/>
        </w:numPr>
      </w:pPr>
      <w:r>
        <w:t xml:space="preserve">Padziļinātā izvērtējuma rezultāti 2023. gads (</w:t>
      </w:r>
      <w:r>
        <w:rPr>
          <w:rStyle w:val="VerbatimChar"/>
        </w:rPr>
        <w:t xml:space="preserve">deep_23</w:t>
      </w:r>
      <w:r>
        <w:t xml:space="preserve">)</w:t>
      </w:r>
      <w:r>
        <w:br/>
      </w:r>
    </w:p>
    <w:p>
      <w:pPr>
        <w:pStyle w:val="Compact"/>
        <w:numPr>
          <w:ilvl w:val="0"/>
          <w:numId w:val="1001"/>
        </w:numPr>
      </w:pPr>
      <w:r>
        <w:t xml:space="preserve">Vienkāršotais ekspertu izvērtējums 2024. gads (</w:t>
      </w:r>
      <w:r>
        <w:rPr>
          <w:rStyle w:val="VerbatimChar"/>
        </w:rPr>
        <w:t xml:space="preserve">easy_24</w:t>
      </w:r>
      <w:r>
        <w:t xml:space="preserve">)</w:t>
      </w:r>
      <w:r>
        <w:br/>
      </w:r>
    </w:p>
    <w:p>
      <w:pPr>
        <w:pStyle w:val="Compact"/>
        <w:numPr>
          <w:ilvl w:val="0"/>
          <w:numId w:val="1001"/>
        </w:numPr>
      </w:pPr>
      <w:r>
        <w:t xml:space="preserve">Iestāžu pašvērtējuma rezultāti 2024. gads (</w:t>
      </w:r>
      <w:r>
        <w:rPr>
          <w:rStyle w:val="VerbatimChar"/>
        </w:rPr>
        <w:t xml:space="preserve">self_24</w:t>
      </w:r>
      <w:r>
        <w:t xml:space="preserve">)</w:t>
      </w:r>
      <w:r>
        <w:br/>
      </w:r>
    </w:p>
    <w:p>
      <w:pPr>
        <w:pStyle w:val="Compact"/>
        <w:numPr>
          <w:ilvl w:val="0"/>
          <w:numId w:val="1001"/>
        </w:numPr>
      </w:pPr>
      <w:r>
        <w:t xml:space="preserve">Automatizēto testu rezultāti 2024. gads (</w:t>
      </w:r>
      <w:r>
        <w:rPr>
          <w:rStyle w:val="VerbatimChar"/>
        </w:rPr>
        <w:t xml:space="preserve">auto_24</w:t>
      </w:r>
      <w:r>
        <w:t xml:space="preserve">)</w:t>
      </w:r>
      <w:r>
        <w:br/>
      </w:r>
    </w:p>
    <w:p>
      <w:pPr>
        <w:pStyle w:val="Compact"/>
        <w:numPr>
          <w:ilvl w:val="0"/>
          <w:numId w:val="1001"/>
        </w:numPr>
      </w:pPr>
      <w:r>
        <w:t xml:space="preserve">Iepriekšējā perioda automatizēto testu rezultāti 2022. gads (</w:t>
      </w:r>
      <w:r>
        <w:rPr>
          <w:rStyle w:val="VerbatimChar"/>
        </w:rPr>
        <w:t xml:space="preserve">auto_22</w:t>
      </w:r>
      <w:r>
        <w:t xml:space="preserve">)</w:t>
      </w:r>
    </w:p>
    <w:bookmarkStart w:id="22" w:name="izvērtēšanas-metodoloģijas"/>
    <w:p>
      <w:pPr>
        <w:pStyle w:val="Heading3"/>
      </w:pPr>
      <w:r>
        <w:t xml:space="preserve">Izvērtēšanas metodoloģijas</w:t>
      </w:r>
    </w:p>
    <w:p>
      <w:pPr>
        <w:pStyle w:val="FirstParagraph"/>
      </w:pPr>
      <w:r>
        <w:t xml:space="preserve">Tīmekļvietņu piekļūstamības novērtēšanā tiek pielietotas divas galvenās pieejas: manuālā un automatizētā izvērtēšana.</w:t>
      </w:r>
    </w:p>
    <w:bookmarkStart w:id="20" w:name="manuālie-izvērtējumi"/>
    <w:p>
      <w:pPr>
        <w:pStyle w:val="Heading4"/>
      </w:pPr>
      <w:r>
        <w:t xml:space="preserve">1. Manuālie izvērtējumi</w:t>
      </w:r>
    </w:p>
    <w:p>
      <w:pPr>
        <w:pStyle w:val="FirstParagraph"/>
      </w:pPr>
      <w:r>
        <w:t xml:space="preserve">Manuālās metodes īstenošanai ir nepieciešama cilvēka iesaiste, kas ļauj veikt dziļāku un kontekstuālāku analīzi.</w:t>
      </w:r>
    </w:p>
    <w:p>
      <w:pPr>
        <w:pStyle w:val="Compact"/>
        <w:numPr>
          <w:ilvl w:val="0"/>
          <w:numId w:val="1002"/>
        </w:numPr>
      </w:pPr>
      <w:r>
        <w:rPr>
          <w:b/>
          <w:bCs/>
        </w:rPr>
        <w:t xml:space="preserve">Padziļinātais izvērtējums:</w:t>
      </w:r>
      <w:r>
        <w:t xml:space="preserve"> </w:t>
      </w:r>
      <w:r>
        <w:t xml:space="preserve">Visaptverošākā metode, kas tiek veikta, stingri vadoties pēc Tīmekļa satura piekļūstamības vadlīniju (WCAG) metodoloģijas. Tā pārbauda atbilstību plašam kritēriju lokam, sniedzot detalizētu ainu par vietnes piekļūstamību.</w:t>
      </w:r>
      <w:r>
        <w:br/>
      </w:r>
    </w:p>
    <w:p>
      <w:pPr>
        <w:pStyle w:val="Compact"/>
        <w:numPr>
          <w:ilvl w:val="0"/>
          <w:numId w:val="1002"/>
        </w:numPr>
      </w:pPr>
      <w:r>
        <w:rPr>
          <w:b/>
          <w:bCs/>
        </w:rPr>
        <w:t xml:space="preserve">Vienkāršotais izvērtējums:</w:t>
      </w:r>
      <w:r>
        <w:t xml:space="preserve"> </w:t>
      </w:r>
      <w:r>
        <w:t xml:space="preserve">Šī metode izmanto ierobežotu, bet būtisku pārbaudes punktu kopumu (piemēram, 11 kritērijus), kas pamatā ir atvasināti no Tīmekļa Piekļūstamības iniciatīvas (WAI) ieteiktajām vieglajām pārbaudēm. Šo izvērtējumu var veikt divējādi:</w:t>
      </w:r>
    </w:p>
    <w:p>
      <w:pPr>
        <w:pStyle w:val="Compact"/>
        <w:numPr>
          <w:ilvl w:val="1"/>
          <w:numId w:val="1003"/>
        </w:numPr>
      </w:pPr>
      <w:r>
        <w:rPr>
          <w:b/>
          <w:bCs/>
        </w:rPr>
        <w:t xml:space="preserve">Ekspertu vērtējums:</w:t>
      </w:r>
      <w:r>
        <w:t xml:space="preserve"> </w:t>
      </w:r>
      <w:r>
        <w:t xml:space="preserve">To veic jomas speciālisti.</w:t>
      </w:r>
      <w:r>
        <w:br/>
      </w:r>
    </w:p>
    <w:p>
      <w:pPr>
        <w:pStyle w:val="Compact"/>
        <w:numPr>
          <w:ilvl w:val="1"/>
          <w:numId w:val="1003"/>
        </w:numPr>
      </w:pPr>
      <w:r>
        <w:rPr>
          <w:b/>
          <w:bCs/>
        </w:rPr>
        <w:t xml:space="preserve">Pašvērtējums:</w:t>
      </w:r>
      <w:r>
        <w:t xml:space="preserve"> </w:t>
      </w:r>
      <w:r>
        <w:t xml:space="preserve">To veic pati iestāde, parasti publicējot rezultātus savā tīmekļvietnē.</w:t>
      </w:r>
    </w:p>
    <w:bookmarkEnd w:id="20"/>
    <w:bookmarkStart w:id="21" w:name="automatizētie-izvērtējumi"/>
    <w:p>
      <w:pPr>
        <w:pStyle w:val="Heading4"/>
      </w:pPr>
      <w:r>
        <w:t xml:space="preserve">2. Automatizētie izvērtējumi</w:t>
      </w:r>
    </w:p>
    <w:p>
      <w:pPr>
        <w:pStyle w:val="FirstParagraph"/>
      </w:pPr>
      <w:r>
        <w:t xml:space="preserve">Šīs pārbaudes tiek veiktas, izmantojot specializētus rīkus (piemēram,</w:t>
      </w:r>
      <w:r>
        <w:t xml:space="preserve"> </w:t>
      </w:r>
      <w:r>
        <w:rPr>
          <w:rStyle w:val="VerbatimChar"/>
        </w:rPr>
        <w:t xml:space="preserve">axe-core</w:t>
      </w:r>
      <w:r>
        <w:t xml:space="preserve">), kas automātiski identificē noteikta veida piekļūstamības kļūdas. Svarīgi ņemt vērā, ka šajās datu kopās ir apkopotas</w:t>
      </w:r>
      <w:r>
        <w:t xml:space="preserve"> </w:t>
      </w:r>
      <w:r>
        <w:rPr>
          <w:b/>
          <w:bCs/>
        </w:rPr>
        <w:t xml:space="preserve">tikai tās pārbaudes, kurās tika konstatēta kļūda</w:t>
      </w:r>
      <w:r>
        <w:t xml:space="preserve">. Ja kādā lapā automatizētais tests neatrada problēmas, ieraksti par šo lapu datu kopā nav iekļauti.</w:t>
      </w:r>
    </w:p>
    <w:bookmarkEnd w:id="21"/>
    <w:bookmarkEnd w:id="22"/>
    <w:bookmarkStart w:id="25" w:name="datu-kopu-detalizēts-apraksts"/>
    <w:p>
      <w:pPr>
        <w:pStyle w:val="Heading3"/>
      </w:pPr>
      <w:r>
        <w:t xml:space="preserve">Datu kopu detalizēts apraksts</w:t>
      </w:r>
    </w:p>
    <w:bookmarkStart w:id="23" w:name="manuālo-izvērtējumu-datu-kopas"/>
    <w:p>
      <w:pPr>
        <w:pStyle w:val="Heading4"/>
      </w:pPr>
      <w:r>
        <w:t xml:space="preserve">Manuālo izvērtējumu datu kopas</w:t>
      </w:r>
    </w:p>
    <w:p>
      <w:pPr>
        <w:pStyle w:val="Compact"/>
        <w:numPr>
          <w:ilvl w:val="0"/>
          <w:numId w:val="1004"/>
        </w:numPr>
      </w:pPr>
      <w:r>
        <w:rPr>
          <w:b/>
          <w:bCs/>
        </w:rPr>
        <w:t xml:space="preserve">Padziļinātā izvērtējuma rezultāti 2024. gads (</w:t>
      </w:r>
      <w:r>
        <w:rPr>
          <w:rStyle w:val="VerbatimChar"/>
          <w:b/>
          <w:bCs/>
        </w:rPr>
        <w:t xml:space="preserve">deep_24</w:t>
      </w:r>
      <w:r>
        <w:rPr>
          <w:b/>
          <w:bCs/>
        </w:rPr>
        <w:t xml:space="preserve">)</w:t>
      </w:r>
      <w:r>
        <w:t xml:space="preserve"> </w:t>
      </w:r>
      <w:r>
        <w:t xml:space="preserve">Šī datu kopa satur 2024. gada padziļinātā piekļūstamības izvērtējuma rezultātus valsts pārvaldes tīmekļvietnēm. Izvērtējums veikts, balstoties uz WCAG-EM metodoloģiju un Eiropas standartu EN 301 549, un tas ietver ekspertu veiktas manuālās pārbaudes. Dati sniedz informāciju par katra pārbaudītā kritērija atbilstību.</w:t>
      </w:r>
      <w:r>
        <w:br/>
      </w:r>
    </w:p>
    <w:p>
      <w:pPr>
        <w:pStyle w:val="Compact"/>
        <w:numPr>
          <w:ilvl w:val="0"/>
          <w:numId w:val="1004"/>
        </w:numPr>
      </w:pPr>
      <w:r>
        <w:rPr>
          <w:b/>
          <w:bCs/>
        </w:rPr>
        <w:t xml:space="preserve">Padziļinātā izvērtējuma rezultāti 2023. gads (</w:t>
      </w:r>
      <w:r>
        <w:rPr>
          <w:rStyle w:val="VerbatimChar"/>
          <w:b/>
          <w:bCs/>
        </w:rPr>
        <w:t xml:space="preserve">deep_23</w:t>
      </w:r>
      <w:r>
        <w:rPr>
          <w:b/>
          <w:bCs/>
        </w:rPr>
        <w:t xml:space="preserve">)</w:t>
      </w:r>
      <w:r>
        <w:t xml:space="preserve"> </w:t>
      </w:r>
      <w:r>
        <w:t xml:space="preserve">Iepriekšējā, 2023. gada, padziļinātā izvērtējuma datu kopa. Tā ir metodoloģiski analoģiska 2024. gada izvērtējumam, kas nodrošina datu salīdzināmību un kalpo kā bāzes līnija progresa novērtēšanai.</w:t>
      </w:r>
      <w:r>
        <w:br/>
      </w:r>
    </w:p>
    <w:p>
      <w:pPr>
        <w:pStyle w:val="Compact"/>
        <w:numPr>
          <w:ilvl w:val="0"/>
          <w:numId w:val="1004"/>
        </w:numPr>
      </w:pPr>
      <w:r>
        <w:rPr>
          <w:b/>
          <w:bCs/>
        </w:rPr>
        <w:t xml:space="preserve">Vienkāršotais ekspertu izvērtējums 2024. gads (</w:t>
      </w:r>
      <w:r>
        <w:rPr>
          <w:rStyle w:val="VerbatimChar"/>
          <w:b/>
          <w:bCs/>
        </w:rPr>
        <w:t xml:space="preserve">easy_24</w:t>
      </w:r>
      <w:r>
        <w:rPr>
          <w:b/>
          <w:bCs/>
        </w:rPr>
        <w:t xml:space="preserve">)</w:t>
      </w:r>
      <w:r>
        <w:t xml:space="preserve"> </w:t>
      </w:r>
      <w:r>
        <w:t xml:space="preserve">Šeit apkopoti rezultāti no vienkāršotā izvērtējuma, ko 2024. gadā veikuši eksperti saskaņā ar VARAM izstrādāto metodoloģiju. Katrai no 132 izlases tīmekļvietnēm tika atlasītas 5 lapas un pārbaudīta to atbilstība 11 definētiem piekļūstamības aspektiem.</w:t>
      </w:r>
      <w:r>
        <w:br/>
      </w:r>
    </w:p>
    <w:p>
      <w:pPr>
        <w:pStyle w:val="Compact"/>
        <w:numPr>
          <w:ilvl w:val="0"/>
          <w:numId w:val="1004"/>
        </w:numPr>
      </w:pPr>
      <w:r>
        <w:rPr>
          <w:b/>
          <w:bCs/>
        </w:rPr>
        <w:t xml:space="preserve">Iestāžu pašvērtējuma rezultāti 2024. gads (</w:t>
      </w:r>
      <w:r>
        <w:rPr>
          <w:rStyle w:val="VerbatimChar"/>
          <w:b/>
          <w:bCs/>
        </w:rPr>
        <w:t xml:space="preserve">self_24</w:t>
      </w:r>
      <w:r>
        <w:rPr>
          <w:b/>
          <w:bCs/>
        </w:rPr>
        <w:t xml:space="preserve">)</w:t>
      </w:r>
      <w:r>
        <w:t xml:space="preserve"> </w:t>
      </w:r>
      <w:r>
        <w:t xml:space="preserve">Datu kopa izveidota, apkopojot informāciju no piekļūstamības paziņojumiem, ko iestādes publicējušas savās tīmekļvietnēs. Tā paredzēta salīdzināšanai ar ekspertu veiktā vienkāršotā izvērtējuma rezultātiem. Jāņem vērā, ka dati var būt nepilnīgi, jo ne visām iestādēm bija iespējams iegūt pilnvērtīgu pašvērtējumu.</w:t>
      </w:r>
    </w:p>
    <w:bookmarkEnd w:id="23"/>
    <w:bookmarkStart w:id="24" w:name="automatizēto-izvērtējumu-datu-kopas"/>
    <w:p>
      <w:pPr>
        <w:pStyle w:val="Heading4"/>
      </w:pPr>
      <w:r>
        <w:t xml:space="preserve">Automatizēto izvērtējumu datu kopas</w:t>
      </w:r>
    </w:p>
    <w:p>
      <w:pPr>
        <w:pStyle w:val="Compact"/>
        <w:numPr>
          <w:ilvl w:val="0"/>
          <w:numId w:val="1005"/>
        </w:numPr>
      </w:pPr>
      <w:r>
        <w:rPr>
          <w:b/>
          <w:bCs/>
        </w:rPr>
        <w:t xml:space="preserve">Automatizēto testu rezultāti 2024. gads (</w:t>
      </w:r>
      <w:r>
        <w:rPr>
          <w:rStyle w:val="VerbatimChar"/>
          <w:b/>
          <w:bCs/>
        </w:rPr>
        <w:t xml:space="preserve">auto_24</w:t>
      </w:r>
      <w:r>
        <w:rPr>
          <w:b/>
          <w:bCs/>
        </w:rPr>
        <w:t xml:space="preserve">)</w:t>
      </w:r>
      <w:r>
        <w:t xml:space="preserve"> </w:t>
      </w:r>
      <w:r>
        <w:t xml:space="preserve">Šī ir apjomīgākā datu kopa, kas satur 2024. gada automatizētā izvērtējuma datus. Pārbaude veikta praktiski visām tīmekļvietnēm, kas iekļautas Publisko personu un iestāžu sarakstā. Katrai tīmekļvietnei tika pārbaudīta sākumlapa un tajā atrodamās saites.</w:t>
      </w:r>
      <w:r>
        <w:br/>
      </w:r>
    </w:p>
    <w:p>
      <w:pPr>
        <w:pStyle w:val="Compact"/>
        <w:numPr>
          <w:ilvl w:val="0"/>
          <w:numId w:val="1005"/>
        </w:numPr>
      </w:pPr>
      <w:r>
        <w:rPr>
          <w:b/>
          <w:bCs/>
        </w:rPr>
        <w:t xml:space="preserve">Iepriekšējā perioda automatizēto testu rezultāti 2022. gads (</w:t>
      </w:r>
      <w:r>
        <w:rPr>
          <w:rStyle w:val="VerbatimChar"/>
          <w:b/>
          <w:bCs/>
        </w:rPr>
        <w:t xml:space="preserve">auto_22</w:t>
      </w:r>
      <w:r>
        <w:rPr>
          <w:b/>
          <w:bCs/>
        </w:rPr>
        <w:t xml:space="preserve">)</w:t>
      </w:r>
      <w:r>
        <w:t xml:space="preserve"> </w:t>
      </w:r>
      <w:r>
        <w:t xml:space="preserve">Šī datu kopa satur rezultātus no 2022. gada automatizētās testēšanas cikla. Tā ir metodoloģiski līdzīga 2024. gada pārbaudei un tiek izmantota, lai analizētu tendences un novērtētu izmaiņas ilgtermiņā.</w:t>
      </w:r>
    </w:p>
    <w:bookmarkEnd w:id="24"/>
    <w:bookmarkEnd w:id="25"/>
    <w:bookmarkStart w:id="26" w:name="datu-struktūras-apraksts-kolonnas"/>
    <w:p>
      <w:pPr>
        <w:pStyle w:val="Heading3"/>
      </w:pPr>
      <w:r>
        <w:t xml:space="preserve">Datu struktūras apraksts (kolonnas)</w:t>
      </w:r>
    </w:p>
    <w:p>
      <w:pPr>
        <w:pStyle w:val="Compact"/>
        <w:numPr>
          <w:ilvl w:val="0"/>
          <w:numId w:val="1006"/>
        </w:numPr>
      </w:pPr>
      <w:r>
        <w:rPr>
          <w:rStyle w:val="VerbatimChar"/>
        </w:rPr>
        <w:t xml:space="preserve">platform_name</w:t>
      </w:r>
      <w:r>
        <w:t xml:space="preserve"> </w:t>
      </w:r>
      <w:r>
        <w:t xml:space="preserve">(Teksts): Tīmekļvietnes domēna nosaukums (piem.,</w:t>
      </w:r>
      <w:r>
        <w:t xml:space="preserve"> </w:t>
      </w:r>
      <w:r>
        <w:t xml:space="preserve">“airbaltic.com”</w:t>
      </w:r>
      <w:r>
        <w:t xml:space="preserve">).</w:t>
      </w:r>
      <w:r>
        <w:br/>
      </w:r>
    </w:p>
    <w:p>
      <w:pPr>
        <w:pStyle w:val="Compact"/>
        <w:numPr>
          <w:ilvl w:val="0"/>
          <w:numId w:val="1006"/>
        </w:numPr>
      </w:pPr>
      <w:r>
        <w:rPr>
          <w:rStyle w:val="VerbatimChar"/>
        </w:rPr>
        <w:t xml:space="preserve">page_url</w:t>
      </w:r>
      <w:r>
        <w:t xml:space="preserve"> </w:t>
      </w:r>
      <w:r>
        <w:t xml:space="preserve">(Teksts): Konkrētās pārbaudītās lapas pilnā URL adrese.</w:t>
      </w:r>
      <w:r>
        <w:br/>
      </w:r>
    </w:p>
    <w:p>
      <w:pPr>
        <w:pStyle w:val="Compact"/>
        <w:numPr>
          <w:ilvl w:val="0"/>
          <w:numId w:val="1006"/>
        </w:numPr>
      </w:pPr>
      <w:r>
        <w:rPr>
          <w:rStyle w:val="VerbatimChar"/>
        </w:rPr>
        <w:t xml:space="preserve">page_name</w:t>
      </w:r>
      <w:r>
        <w:t xml:space="preserve"> </w:t>
      </w:r>
      <w:r>
        <w:t xml:space="preserve">(Teksts): Cilvēkam lasāms pārbaudītās lapas nosaukums (piem.,</w:t>
      </w:r>
      <w:r>
        <w:t xml:space="preserve"> </w:t>
      </w:r>
      <w:r>
        <w:t xml:space="preserve">“Sākumlapa”</w:t>
      </w:r>
      <w:r>
        <w:t xml:space="preserve">).</w:t>
      </w:r>
      <w:r>
        <w:br/>
      </w:r>
    </w:p>
    <w:p>
      <w:pPr>
        <w:pStyle w:val="Compact"/>
        <w:numPr>
          <w:ilvl w:val="0"/>
          <w:numId w:val="1006"/>
        </w:numPr>
      </w:pPr>
      <w:r>
        <w:rPr>
          <w:rStyle w:val="VerbatimChar"/>
        </w:rPr>
        <w:t xml:space="preserve">compliance</w:t>
      </w:r>
      <w:r>
        <w:t xml:space="preserve"> </w:t>
      </w:r>
      <w:r>
        <w:t xml:space="preserve">(Teksts): Pamatojums, kāpēc lapa iekļauta padziļinātā izvērtējuma izlasē.</w:t>
      </w:r>
      <w:r>
        <w:br/>
      </w:r>
    </w:p>
    <w:p>
      <w:pPr>
        <w:pStyle w:val="Compact"/>
        <w:numPr>
          <w:ilvl w:val="0"/>
          <w:numId w:val="1006"/>
        </w:numPr>
      </w:pPr>
      <w:r>
        <w:rPr>
          <w:rStyle w:val="VerbatimChar"/>
        </w:rPr>
        <w:t xml:space="preserve">type</w:t>
      </w:r>
      <w:r>
        <w:t xml:space="preserve"> </w:t>
      </w:r>
      <w:r>
        <w:t xml:space="preserve">(Teksts): Ieraksta tips, kas nākotnē var tikt izmantots tīmekļvietņu klasifikācijai (piem., valsts, pašvaldības).</w:t>
      </w:r>
      <w:r>
        <w:br/>
      </w:r>
    </w:p>
    <w:p>
      <w:pPr>
        <w:pStyle w:val="Compact"/>
        <w:numPr>
          <w:ilvl w:val="0"/>
          <w:numId w:val="1006"/>
        </w:numPr>
      </w:pPr>
      <w:r>
        <w:rPr>
          <w:rStyle w:val="VerbatimChar"/>
        </w:rPr>
        <w:t xml:space="preserve">is_TVP</w:t>
      </w:r>
      <w:r>
        <w:t xml:space="preserve"> </w:t>
      </w:r>
      <w:r>
        <w:t xml:space="preserve">(Loģiskā vērtība): Pazīme (</w:t>
      </w:r>
      <w:r>
        <w:rPr>
          <w:rStyle w:val="VerbatimChar"/>
        </w:rPr>
        <w:t xml:space="preserve">TRUE</w:t>
      </w:r>
      <w:r>
        <w:t xml:space="preserve">/</w:t>
      </w:r>
      <w:r>
        <w:rPr>
          <w:rStyle w:val="VerbatimChar"/>
        </w:rPr>
        <w:t xml:space="preserve">FALSE</w:t>
      </w:r>
      <w:r>
        <w:t xml:space="preserve">), kas norāda, vai tīmekļvietne ir veidota uz Tīmekļvietņu vienotās platformas (TVP).</w:t>
      </w:r>
      <w:r>
        <w:br/>
      </w:r>
    </w:p>
    <w:p>
      <w:pPr>
        <w:pStyle w:val="Compact"/>
        <w:numPr>
          <w:ilvl w:val="0"/>
          <w:numId w:val="1006"/>
        </w:numPr>
      </w:pPr>
      <w:r>
        <w:rPr>
          <w:rStyle w:val="VerbatimChar"/>
        </w:rPr>
        <w:t xml:space="preserve">platform_id</w:t>
      </w:r>
      <w:r>
        <w:t xml:space="preserve"> </w:t>
      </w:r>
      <w:r>
        <w:t xml:space="preserve">(Skaitlis): Unikāls tīmekļvietnes identifikators vienas datu kopas ietvaros.</w:t>
      </w:r>
      <w:r>
        <w:br/>
      </w:r>
    </w:p>
    <w:p>
      <w:pPr>
        <w:pStyle w:val="Compact"/>
        <w:numPr>
          <w:ilvl w:val="0"/>
          <w:numId w:val="1006"/>
        </w:numPr>
      </w:pPr>
      <w:r>
        <w:rPr>
          <w:rStyle w:val="VerbatimChar"/>
        </w:rPr>
        <w:t xml:space="preserve">page_id</w:t>
      </w:r>
      <w:r>
        <w:t xml:space="preserve"> </w:t>
      </w:r>
      <w:r>
        <w:t xml:space="preserve">(Skaitlis): Unikāls lapas identifikators vienas datu kopas ietvaros.</w:t>
      </w:r>
      <w:r>
        <w:br/>
      </w:r>
    </w:p>
    <w:p>
      <w:pPr>
        <w:pStyle w:val="Compact"/>
        <w:numPr>
          <w:ilvl w:val="0"/>
          <w:numId w:val="1006"/>
        </w:numPr>
      </w:pPr>
      <w:r>
        <w:rPr>
          <w:rStyle w:val="VerbatimChar"/>
        </w:rPr>
        <w:t xml:space="preserve">check_id</w:t>
      </w:r>
      <w:r>
        <w:t xml:space="preserve"> </w:t>
      </w:r>
      <w:r>
        <w:t xml:space="preserve">(Skaitlis): Unikāls rindas identifikators vienas datu kopas ietvaros.</w:t>
      </w:r>
      <w:r>
        <w:br/>
      </w:r>
    </w:p>
    <w:p>
      <w:pPr>
        <w:pStyle w:val="Compact"/>
        <w:numPr>
          <w:ilvl w:val="0"/>
          <w:numId w:val="1006"/>
        </w:numPr>
      </w:pPr>
      <w:r>
        <w:rPr>
          <w:rStyle w:val="VerbatimChar"/>
        </w:rPr>
        <w:t xml:space="preserve">en_clause</w:t>
      </w:r>
      <w:r>
        <w:t xml:space="preserve"> </w:t>
      </w:r>
      <w:r>
        <w:t xml:space="preserve">(Teksts): Konkrēts Eiropas standarta EN 301 549 punkts, kas tika pārbaudīts (piem.,</w:t>
      </w:r>
      <w:r>
        <w:t xml:space="preserve"> </w:t>
      </w:r>
      <w:r>
        <w:t xml:space="preserve">“9.1.1.1”</w:t>
      </w:r>
      <w:r>
        <w:t xml:space="preserve">).</w:t>
      </w:r>
      <w:r>
        <w:br/>
      </w:r>
    </w:p>
    <w:p>
      <w:pPr>
        <w:pStyle w:val="Compact"/>
        <w:numPr>
          <w:ilvl w:val="0"/>
          <w:numId w:val="1006"/>
        </w:numPr>
      </w:pPr>
      <w:r>
        <w:rPr>
          <w:rStyle w:val="VerbatimChar"/>
        </w:rPr>
        <w:t xml:space="preserve">wcag_sc</w:t>
      </w:r>
      <w:r>
        <w:t xml:space="preserve"> </w:t>
      </w:r>
      <w:r>
        <w:t xml:space="preserve">(Teksts): Atbilstošais WCAG atbilstības kritērijs (piem.,</w:t>
      </w:r>
      <w:r>
        <w:t xml:space="preserve"> </w:t>
      </w:r>
      <w:r>
        <w:t xml:space="preserve">“1.1.1”</w:t>
      </w:r>
      <w:r>
        <w:t xml:space="preserve">).</w:t>
      </w:r>
      <w:r>
        <w:br/>
      </w:r>
    </w:p>
    <w:p>
      <w:pPr>
        <w:pStyle w:val="Compact"/>
        <w:numPr>
          <w:ilvl w:val="0"/>
          <w:numId w:val="1006"/>
        </w:numPr>
      </w:pPr>
      <w:r>
        <w:rPr>
          <w:rStyle w:val="VerbatimChar"/>
        </w:rPr>
        <w:t xml:space="preserve">wcag_principle</w:t>
      </w:r>
      <w:r>
        <w:t xml:space="preserve"> </w:t>
      </w:r>
      <w:r>
        <w:t xml:space="preserve">(Teksts): Galvenais WCAG pamatprincips:</w:t>
      </w:r>
      <w:r>
        <w:t xml:space="preserve"> </w:t>
      </w:r>
      <w:r>
        <w:rPr>
          <w:rStyle w:val="VerbatimChar"/>
        </w:rPr>
        <w:t xml:space="preserve">Perceivable</w:t>
      </w:r>
      <w:r>
        <w:t xml:space="preserve"> </w:t>
      </w:r>
      <w:r>
        <w:t xml:space="preserve">(Uztveramība),</w:t>
      </w:r>
      <w:r>
        <w:t xml:space="preserve"> </w:t>
      </w:r>
      <w:r>
        <w:rPr>
          <w:rStyle w:val="VerbatimChar"/>
        </w:rPr>
        <w:t xml:space="preserve">Operable</w:t>
      </w:r>
      <w:r>
        <w:t xml:space="preserve"> </w:t>
      </w:r>
      <w:r>
        <w:t xml:space="preserve">(Darbināmība),</w:t>
      </w:r>
      <w:r>
        <w:t xml:space="preserve"> </w:t>
      </w:r>
      <w:r>
        <w:rPr>
          <w:rStyle w:val="VerbatimChar"/>
        </w:rPr>
        <w:t xml:space="preserve">Understandable</w:t>
      </w:r>
      <w:r>
        <w:t xml:space="preserve"> </w:t>
      </w:r>
      <w:r>
        <w:t xml:space="preserve">(Saprotamība) vai</w:t>
      </w:r>
      <w:r>
        <w:t xml:space="preserve"> </w:t>
      </w:r>
      <w:r>
        <w:rPr>
          <w:rStyle w:val="VerbatimChar"/>
        </w:rPr>
        <w:t xml:space="preserve">Robust</w:t>
      </w:r>
      <w:r>
        <w:t xml:space="preserve"> </w:t>
      </w:r>
      <w:r>
        <w:t xml:space="preserve">(Robustums).</w:t>
      </w:r>
      <w:r>
        <w:br/>
      </w:r>
    </w:p>
    <w:p>
      <w:pPr>
        <w:pStyle w:val="Compact"/>
        <w:numPr>
          <w:ilvl w:val="0"/>
          <w:numId w:val="1006"/>
        </w:numPr>
      </w:pPr>
      <w:r>
        <w:rPr>
          <w:rStyle w:val="VerbatimChar"/>
        </w:rPr>
        <w:t xml:space="preserve">result</w:t>
      </w:r>
      <w:r>
        <w:t xml:space="preserve"> </w:t>
      </w:r>
      <w:r>
        <w:t xml:space="preserve">(Teksts): Pārbaudes rezultāts:</w:t>
      </w:r>
      <w:r>
        <w:t xml:space="preserve"> </w:t>
      </w:r>
      <w:r>
        <w:rPr>
          <w:rStyle w:val="VerbatimChar"/>
        </w:rPr>
        <w:t xml:space="preserve">Failed</w:t>
      </w:r>
      <w:r>
        <w:t xml:space="preserve"> </w:t>
      </w:r>
      <w:r>
        <w:t xml:space="preserve">(Neatbilst),</w:t>
      </w:r>
      <w:r>
        <w:t xml:space="preserve"> </w:t>
      </w:r>
      <w:r>
        <w:rPr>
          <w:rStyle w:val="VerbatimChar"/>
        </w:rPr>
        <w:t xml:space="preserve">Passed</w:t>
      </w:r>
      <w:r>
        <w:t xml:space="preserve"> </w:t>
      </w:r>
      <w:r>
        <w:t xml:space="preserve">(Atbilst),</w:t>
      </w:r>
      <w:r>
        <w:t xml:space="preserve"> </w:t>
      </w:r>
      <w:r>
        <w:rPr>
          <w:rStyle w:val="VerbatimChar"/>
        </w:rPr>
        <w:t xml:space="preserve">Not present</w:t>
      </w:r>
      <w:r>
        <w:t xml:space="preserve"> </w:t>
      </w:r>
      <w:r>
        <w:t xml:space="preserve">(Nav attiecināms) vai</w:t>
      </w:r>
      <w:r>
        <w:t xml:space="preserve"> </w:t>
      </w:r>
      <w:r>
        <w:rPr>
          <w:rStyle w:val="VerbatimChar"/>
        </w:rPr>
        <w:t xml:space="preserve">Not applicable</w:t>
      </w:r>
      <w:r>
        <w:t xml:space="preserve"> </w:t>
      </w:r>
      <w:r>
        <w:t xml:space="preserve">(Nav piemērojams).</w:t>
      </w:r>
      <w:r>
        <w:br/>
      </w:r>
    </w:p>
    <w:p>
      <w:pPr>
        <w:pStyle w:val="Compact"/>
        <w:numPr>
          <w:ilvl w:val="0"/>
          <w:numId w:val="1006"/>
        </w:numPr>
      </w:pPr>
      <w:r>
        <w:rPr>
          <w:rStyle w:val="VerbatimChar"/>
        </w:rPr>
        <w:t xml:space="preserve">year</w:t>
      </w:r>
      <w:r>
        <w:t xml:space="preserve"> </w:t>
      </w:r>
      <w:r>
        <w:t xml:space="preserve">(Skaitlis): Gads, kurā veikts izvērtējums (piem., 2022, 2023, 2024).</w:t>
      </w:r>
      <w:r>
        <w:br/>
      </w:r>
    </w:p>
    <w:p>
      <w:pPr>
        <w:pStyle w:val="Compact"/>
        <w:numPr>
          <w:ilvl w:val="0"/>
          <w:numId w:val="1006"/>
        </w:numPr>
      </w:pPr>
      <w:r>
        <w:rPr>
          <w:rStyle w:val="VerbatimChar"/>
        </w:rPr>
        <w:t xml:space="preserve">dataset</w:t>
      </w:r>
      <w:r>
        <w:t xml:space="preserve"> </w:t>
      </w:r>
      <w:r>
        <w:t xml:space="preserve">(Teksts): Sākotnējās datu kopas nosaukums, kas identificē izvērtējuma veidu (piem.,</w:t>
      </w:r>
      <w:r>
        <w:t xml:space="preserve"> </w:t>
      </w:r>
      <w:r>
        <w:rPr>
          <w:rStyle w:val="VerbatimChar"/>
        </w:rPr>
        <w:t xml:space="preserve">deep_23</w:t>
      </w:r>
      <w:r>
        <w:t xml:space="preserve">,</w:t>
      </w:r>
      <w:r>
        <w:t xml:space="preserve"> </w:t>
      </w:r>
      <w:r>
        <w:rPr>
          <w:rStyle w:val="VerbatimChar"/>
        </w:rPr>
        <w:t xml:space="preserve">auto_24</w:t>
      </w:r>
      <w:r>
        <w:t xml:space="preserve">).</w:t>
      </w:r>
      <w:r>
        <w:br/>
      </w:r>
    </w:p>
    <w:p>
      <w:pPr>
        <w:pStyle w:val="Compact"/>
        <w:numPr>
          <w:ilvl w:val="0"/>
          <w:numId w:val="1006"/>
        </w:numPr>
      </w:pPr>
      <w:r>
        <w:rPr>
          <w:rStyle w:val="VerbatimChar"/>
        </w:rPr>
        <w:t xml:space="preserve">eval_criteria</w:t>
      </w:r>
      <w:r>
        <w:t xml:space="preserve"> </w:t>
      </w:r>
      <w:r>
        <w:t xml:space="preserve">(Teksts): Papildu kritērijs, kas attiecas uz VARAM vienkāršoto izvērtējumu, ja tam nav tiešas atbilstības vienam WCAG kritērijam.</w:t>
      </w:r>
      <w:r>
        <w:br/>
      </w:r>
    </w:p>
    <w:p>
      <w:pPr>
        <w:pStyle w:val="Compact"/>
        <w:numPr>
          <w:ilvl w:val="0"/>
          <w:numId w:val="1006"/>
        </w:numPr>
      </w:pPr>
      <w:r>
        <w:rPr>
          <w:rStyle w:val="VerbatimChar"/>
        </w:rPr>
        <w:t xml:space="preserve">global_platform_id</w:t>
      </w:r>
      <w:r>
        <w:t xml:space="preserve"> </w:t>
      </w:r>
      <w:r>
        <w:t xml:space="preserve">(Skaitlis): Globāls, unikāls tīmekļvietnes identifikators, kas ir vienāds visās datu kopās un gados.</w:t>
      </w:r>
      <w:r>
        <w:br/>
      </w:r>
    </w:p>
    <w:p>
      <w:pPr>
        <w:pStyle w:val="Compact"/>
        <w:numPr>
          <w:ilvl w:val="0"/>
          <w:numId w:val="1006"/>
        </w:numPr>
      </w:pPr>
      <w:r>
        <w:rPr>
          <w:rStyle w:val="VerbatimChar"/>
        </w:rPr>
        <w:t xml:space="preserve">global_page_id</w:t>
      </w:r>
      <w:r>
        <w:t xml:space="preserve"> </w:t>
      </w:r>
      <w:r>
        <w:t xml:space="preserve">(Skaitlis): Globāls, unikāls lapas identifikators, kas ir vienāds visās datu kopās.</w:t>
      </w:r>
    </w:p>
    <w:bookmarkEnd w:id="26"/>
    <w:bookmarkStart w:id="28" w:name="piekļuve-datiem"/>
    <w:p>
      <w:pPr>
        <w:pStyle w:val="Heading3"/>
      </w:pPr>
      <w:r>
        <w:t xml:space="preserve">Piekļuve datiem</w:t>
      </w:r>
    </w:p>
    <w:p>
      <w:pPr>
        <w:pStyle w:val="FirstParagraph"/>
      </w:pPr>
      <w:hyperlink r:id="rId27">
        <w:r>
          <w:rPr>
            <w:rStyle w:val="Hyperlink"/>
          </w:rPr>
          <w:t xml:space="preserve">Šeit ir pieejama saite uz visu izvērtējuma rezultātiem.</w:t>
        </w:r>
      </w:hyperlink>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lv"/>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p11a.varam.gov.lv/2025/visi_dati.xlsx" TargetMode="External" /></Relationships>
</file>

<file path=word/_rels/footnotes.xml.rels><?xml version="1.0" encoding="UTF-8"?><Relationships xmlns="http://schemas.openxmlformats.org/package/2006/relationships"><Relationship Type="http://schemas.openxmlformats.org/officeDocument/2006/relationships/hyperlink" Id="rId27" Target="https://p11a.varam.gov.lv/2025/visi_dati.xls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 kopu apraksts</dc:title>
  <dc:creator>Turn digital / Piekļūstamība.lv</dc:creator>
  <dc:language>lv</dc:language>
  <cp:keywords/>
  <dcterms:created xsi:type="dcterms:W3CDTF">2025-08-18T08:56:28Z</dcterms:created>
  <dcterms:modified xsi:type="dcterms:W3CDTF">2025-08-18T08:56:28Z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2025-08-15</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language">
    <vt:lpwstr/>
  </property>
  <property fmtid="{D5CDD505-2E9C-101B-9397-08002B2CF9AE}" pid="11" name="mermaid">
    <vt:lpwstr/>
  </property>
  <property fmtid="{D5CDD505-2E9C-101B-9397-08002B2CF9AE}" pid="12" name="title-block-banner">
    <vt:lpwstr>True</vt:lpwstr>
  </property>
  <property fmtid="{D5CDD505-2E9C-101B-9397-08002B2CF9AE}" pid="13" name="toc-title">
    <vt:lpwstr>Satura rādītājs</vt:lpwstr>
  </property>
  <property fmtid="{D5CDD505-2E9C-101B-9397-08002B2CF9AE}" pid="14" name="version">
    <vt:lpwstr>1.1</vt:lpwstr>
  </property>
</Properties>
</file>